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628</w:t>
      </w:r>
    </w:p>
    <w:p>
      <w:r>
        <w:t>Bundesgericht (BGE), 1968-09-12, DE</w:t>
      </w:r>
    </w:p>
    <w:p>
      <w:r>
        <w:rPr>
          <w:b/>
        </w:rPr>
        <w:t xml:space="preserve">Quelle: </w:t>
      </w:r>
      <w:r>
        <w:t>https://mcp.opencaselaw.ch/entscheid/bge_94 I 628</w:t>
      </w:r>
    </w:p>
    <w:p>
      <w:r>
        <w:t>FR: ATF 94 I 628</w:t>
      </w:r>
    </w:p>
    <w:p>
      <w:r>
        <w:t>IT: DTF 94 I 628</w:t>
      </w:r>
    </w:p>
    <w:p>
      <w:pPr>
        <w:pStyle w:val="Heading2"/>
      </w:pPr>
      <w:r>
        <w:t>Regeste</w:t>
      </w:r>
    </w:p>
    <w:p>
      <w:r>
        <w:t>Regeste Verwaltungsgerichtsklage (Art. 110 OG) auf Schadenersatz gemäss Art. 3 und 19 VG. 1. Zuständigkeit des Bundesgerichtes (Erw. 1): a) bei Klagen gegen den Bund gemäss Art. 10 VG und Art. 110 OG; b) bei Klagen gegen den Schweiz. Elektrotechnischen Verein (durch Ausfüllen einer Lücke des Art. 19 VG). 2. Vereinigung zweier Verwaltungsgerichtsklagen in einem Verfahren nach Art. 24 BZP in Verbindung mit Art. 40 OG (Erw. 2). 3. Passivlegitimation (Erw. 3): a) Der SEV ist eine mit einer öffentlichrechtlichen Aufgabe des Bundes betraute und ausserhalb der ordentlichen Bundesverwaltung stehende Organisation, die nach Art. 19 VG primär haftet; subsidiäre Haftung des Bundes. b) Für die behaupteten Fehler des EVED haftet der Bund, nicht aber der SEV; keine solidarische Haftung. 4. Voraussetzungen einer Haftung des SEV: a) Widerrechtliche Handlung (Erw. 4): aa) Auch die ausserhalb der ordentlichen Bundesverwaltung stehende Organisation haftet nur für den Schaden, den ihre Angestellten in Ausübung der vom Bund übertragenen Aufgabe widerrechtlich (Art. 19 VG) zufügen. bb) Kontrollpflicht des Starkstrominspektorates des SEV hinsichtlich der in Verkehr gebrachten elektrischen Maschinen; ihre Verletzung ist widerrechtlich (Erw. 4 a). b) Adäquater Kausalzusammenhang zwischen der widerrechtlichen Handlung und dem Schaden bei Ersatzansprüchen gemäss Art. 3 und 19 VG (Erw. 5).</w:t>
      </w:r>
    </w:p>
    <w:p>
      <w:pPr>
        <w:pStyle w:val="Heading2"/>
      </w:pPr>
      <w:r>
        <w:t>Erwägungen</w:t>
      </w:r>
    </w:p>
    <w:p>
      <w:r>
        <w:rPr>
          <w:b/>
        </w:rPr>
        <w:t>E. 1</w:t>
      </w:r>
    </w:p>
    <w:p>
      <w:r>
        <w:t>Mit den Klagen vom 21. November 1966 und vom 24. November 1967 werden gestützt auf Art. 3 und 19 VG der Bund und der SEV haftbar gemacht für den Schaden, den die Klägerin dadurch erlitten habe, dass das Starkstrominspektorat und das Eidg. Verkehrs- und Energiewirtschaftsdepartement ihre Kontrollpflichten nicht erfüllt hätten. Gegenüber dem Bund ist nach Art. 10 Abs. 1 VG die Zuständigkeit des Bundesgerichtes im Sinne von Art. 110 ff. OG gegeben. Für die Klagen nach Art. 19 VG fehlt eine Vorschrift. Es ist aber nicht zweifelhaft, dass die gleiche Instanz, die über streitige Ansprüche gegen den Bund oder des Bundes aus dem Verantwortlichkeitsgesetz zu entscheiden hat, auch für solche Ansprüche gegenüber den vom Bund mit öffentlich-rechtlichen Aufgaben betrauten Organisationen und für deren Regressansprüche gegen ihre Organe und Beamten zuständig sein muss. Das ergibt sich zwingend schon aus dem Sachzusammenhang. Wo - was die Regel sein dürfte - die Haftung sowohl der Organisation als auch des Bundes geltend gemacht wird, drängt sich die Verbindung der beiden Klagen und ihre Beurteilung in einem gemeinsamen Entscheid auf: Wären nämlich verschiedene Gerichte zuständig, so würde nicht nur dieser prozessökonomische Vorteil entfallen, sondern es bestünde die Möglichkeit einander widersprechender Urteile über dieselbe Rechtsfrage, was verhindert werden muss. Die Lücke im Verantwortlichkeitsgesetz ist deshalb dahin auszufüllen, dass Art. 10 sinngemäss auch auf die Haftung der mit besondern Aufgaben des Bundes betrauten Organisationen und auf deren Rückgriff gegen ihre Angestellten BGE 94 I 628 S. 638 gemäss Art. 19 anzuwenden ist, dass also auch solche Klagen vom Bundesgericht als einziger Instanz zu beurteilen sind (in diesem Sinne auch KAUFMANN, Haftung des Staates für rechtswidriges Verhalten seiner Organe, Publikation mit gleichem Titel des Max-Planck-Instituts für ausländisches öffentliches Recht und Völkerrecht, Heidelberg 1967, S. 566/7).</w:t>
      </w:r>
    </w:p>
    <w:p>
      <w:r>
        <w:rPr>
          <w:b/>
        </w:rPr>
        <w:t>E. 2</w:t>
      </w:r>
    </w:p>
    <w:p>
      <w:r>
        <w:t>Die Forderungen, welche die Klägerin in den beiden Prozessen gegen die Eidgenossenschaft und den SEV eingeklagt hat, beruhen teils auf demselben Tatbestand, teils auf gleichartigen Tatbeständen. Es werden in beiden Klageschriften die gleichen Rechtssätze angerufen und die gleichen Schlussfolgerungen gezogen. Unter diesen Umständen rechtfertigt es sich nach Art. 24 BZP in Verbindung mit Art. 40 OG , die beiden Klagen vor dem Bundesgericht als einziger Instanz in einem Verfahren zusammenzufassen und sie durch einen einzigen Entscheid zu beurteilen.</w:t>
      </w:r>
    </w:p>
    <w:p>
      <w:r>
        <w:rPr>
          <w:b/>
        </w:rPr>
        <w:t>E. 3</w:t>
      </w:r>
    </w:p>
    <w:p>
      <w:r>
        <w:t>Durch den BRB über die Bezeichnung des Starkstrominspektorates vom 29. Dezember 1947 und den gestützt daraufzwischen dem Departement und dem SEV abgeschlossenen Vertrag (vom 22./23. Dezember 1947) ist die Kontrolle über die Starkstromanlagen dem Starkstrominspektorat des SEV übertragen worden. Das ist ein Musterfall der Betrauung einer ausserhalb der Bundesverwaltung stehenden Organisation mit einer öffentlichen Aufgabe. Hieran vermag der Umstand nichts zu ändern, dass in Art. 2 des Bundesratsbeschlusses vom 29. Dezember 1947 das Starkstrominspektorat als eidgenössische Amtsstelle bezeichnet wird. Das Starkstrominspektorat ist denn auch schon vor dem Inkrafttreten des Elektrizitätsgesetzes durch den SEV ins Leben gerufen worden. Nach dem Erlass des Gesetzes übertrug der Bundesrat durch Beschluss vom 23. Januar 1903 "bis auf weiteres" diesem Inspektorat die amtlichen durch das Gesetz umschriebenen Befugnisse (E. FEHR, das Schweiz. Elektrizitätsrecht, in Führer durch die schweizerische Wasser- und Elektrizitätswirtschaft, Bd. II, S. 128). Folgerichtig sieht das Bundesgesetz über die Änderung der Organisation der Bundesverwaltung in Art. 35/VII Abs. 2 vor, dass der Bundesrat mit der Führung des Starkstrominspektorates eine ausserhalb der Bundesverwaltung stehende geeignete Organisation betrauen kann. Soweit sich die Klage auf Fehler des Starkstrominspektorates gründet, ist daher gemäss Art. 19 VG der SEV verantwortlich und haftet der Bund nur für den ungedeckten Schaden. BGE 94 I 628 S. 639 Dem entspricht das Eventualbegehren der Klagen; darauf ist deshalb einzutreten. Die Klägerin macht aber auch Fehler des Departementes geltend. Dafür haftet der Bund, nicht aber der SEV. Eine solidarische Haftung der beiden kommt nicht in Frage, da hiefür eine gesetzliche Grundlage fehlt. Doch ist in dem Begehren auf ihre solidarische Verurteilung auch dasjenige auf Verurteilung des Bundes - und zwar direkt für den ganzen Schaden, nicht nur für den Ausfall - enthalten. In diesem eingeschränkten Sinne ist auch auf das Hauptbegehren einzutreten.</w:t>
      </w:r>
    </w:p>
    <w:p>
      <w:r>
        <w:rPr>
          <w:b/>
        </w:rPr>
        <w:t>E. 4</w:t>
      </w:r>
    </w:p>
    <w:p>
      <w:r>
        <w:t>Ist die Klägerin durch Personal, für das der Bund nach Art. 1 Abs. 1 lit. c in Verbindung mit Art. 3 Abs. 1 VG einzustehen hat, in Ausübung amtlicher Tätigkeit geschädigt worden, so hat der Bund der Klägerin den Schaden zu ersetzen, wenn er ihr widerrechtlich zugefügt wurde. Entsprechendes gilt für den Schaden, den die Angestellten des SEV der Klägerin in Ausübung der vom Bunde übertragenen Aufgabe widerrechtlich zugefügt haben (vgl. Art. 1 Abs. 1 lit. f VG ); denn ausschlaggebend ist, dass dem Schädiger eine öffentliche Aufgabe der Eidgenossenschaft übertragen ist. Ob er überhaupt in einem Dienstverhältnis zum Bunde steht, sei es öffentlichrechtlicher oder privatrechtlicher Natur, ist belanglos (vgl. BGE 88 II 444 Erw. 2). Belanglos ist ferner, ob der Schaden durch Tun oder Unterlassen verursacht wurde. Desgleichen ist nicht massgeblich, ob die als Schädiger in Betracht fallenden Personen ein Verschulden treffe. Die blosse Rechtswidrigkeit der Schädigung genügt (vgl. Art. 3 Abs. 1 VG ; KAUFMANN, a.a.O., S. 558). a) Die Befugnisse und Pflichten des Starkstrominspektorates werden im Vertrag vom 22./23. Dezember 1947 und namentlich in dem vom SEV gestützt darauf erlassenen Sicherheitszeichen-Reglement vom 1. April/26. November 1953 (SZR) geordnet. An dieses Reglement ist auch der Verein selbst und insbesondere sein Organ, das Starkstrominspektorat, gebunden ( BGE 74 I 17 , BGE 76 IV 52 ). aa) Nach Art. 4 und 26 SZR darf nur geprüftes und mit dem Sicherheitszeichen versehenes Material in den Verkehr gebracht werden; das Recht hiezu wird gemäss Art. 4 Abs. 2 vom Starkstrominspektorat in Form einer Bewilligung erteilt. Zu diesem Material gehören auch die hier in Frage stehenden Apparate und Handwerkzeuge. Diese Vorschriften können nur wirksam BGE 94 I 628 S. 640 sein, wenn dafür gesorgt ist, dass alles darunter fallende Material der Prüfung unterworfen wird, und wenn kontrolliert wird, dass keine ungeprüften und nicht mit dem Sicherheitszeichen versehenen Apparate in den Verkehr gebracht werden. Weiteres Erfordernis wäre sodann eine Aufklärung der Händler über die geltenden, aber offenbar weitgehend unbekannten Vorschriften gewesen. Diese Aufklärung hat das Starkstrominspektorat in Art. 14 des Reglementes über die Hausinstallationskontrolle selbst vorgeschrieben. Die Kontrollen sind Aufgabe des Starkstrominspektorates, das nach Art. 38 SZR alle zur Befolgung des Reglementes notwendigen Massnahmen zu treffen hat. Insbesondere trifft diese Pflicht nicht die Materialprüfungsanstalt, der nur die Durchführung der Materialprüfung obliegt. bb) Dass das Starkstrominspektorat diese Pflicht vernachlässigt hat, geht aus der Tatsache hervor - die ihm nicht unbekannt sein konnte -, dass sich hunderte von ungeprüften Maschinen und Werkzeugen im Verkehr befanden; denn seine Liste der geprüften und mit einem Sicherheitszeichen versehenen Materialien umfasste nur einige Dutzende von Haushaltmaschinen und Handwerkzeugen. Nach seiner eigenen Angabe stellte dieser Anteil 40% des gesamten auf dem Markt angebotenen Materials dar. Erst auf Beschwerde der Klägerin hin ist das Inspektorat tätig geworden und hat innert 2 Monaten diesen Anteil auf 60% erhöht und gleichzeitig einige hundert Verkaufsverbote erlassen. Auch der Aufklärungspflicht hat das Starkstrominspektorat nicht genügt. Dies fällt umso mehr ins Gewicht, als das Starkstrominspektorat der Klägerin die Aufklärung der Händler und Käufer ausdrücklich versprochen, dieses Versprechen aber nicht gehalten hat. Es steht also fest, dass das Starkstrominspektorat seine Kontrollpflicht verletzt hat. cc) Was der SEV dagegen vorbringt, dringt nicht durch: Der SEV macht zunächst geltend, das Starkstrominspektorat habe keine Marktkontrolle vorzunehmen, da es bei den Hausinstallationen nur die Oberaufsicht ausübe und die Elektrizitätswerke die eigentliche Aufsicht durchzuführen hätten. In Art. 4 des Vertrages vom 22./26. Dezember 1947 wird unter lit. b, e und n als zu den Aufgaben des Starkstrominspektorates gehörend bezeichnet: - laut lit. b die "Kontrolle gemäss Art. 21, Alinea 3, des ElG über die Ausführung der in Art. 3 des ElG erwähnten Vorschriften", BGE 94 I 628 S. 641 - laut lit. e die "Nachprüfung der Kontrolle der Hausinstallationen ( Art. 26 ElG )", - laut lit. n "alle aus den Verordnungen sich ergebenden weiteren Verpflichtungen". Im Bereich des Art. 21 Ziff. 3 ElG und speziell für die dort erwähnten "elektrischen Maschinen" ist das Starkstrominspektorat das primäre und zentrale Kontrollorgan. Für die Hausinstallationen ( Art. 26 ElG ) ist es nur sekundäres Kontrollorgan; die primäre Kontrolle obliegt den Lieferwerken (in gleichem Sinne: RUCK, Schweiz. Elektrizitätsrecht, S. 128). Weder das Elektrizitätsgesetz noch die Vollzugserlasse definieren den Begriff der Maschine. Gleichwohl ist nicht zu bezweifeln, dass es sich bei den Werkzeugen, welche die Klägerin herstellt, und auch bei den von ihr beanstandeten Konkurrenzprodukten um Maschinen im Sinne des Art. 21 Ziff. 3 ElG handelt, nämlich um Instrumente, die durch Verwendung elektrischen Stroms Arbeit leisten. Die Erzeugnisse der Klägerin sind denn auch in den Bewilligungen und Korrespondenzen des Starkstrominspektorates als Bohrmaschinen und Schleifmaschinen bezeichnet. Wollte man aber mit dem SEV annehmen, die erwähnten Maschinen seien, weil sie an Hausinstallationen angeschlossen werden können ( Art. 118 lit. c StV ), den Hausinstallationen "gleichzustellen", so käme man zu keinem andern Ergebnis. Für das Installationsmaterial und für die an Hausinstallationen anzuschliessenden "Apparate" bestehen laut Art. 121bis StV dieselben Sicherheitsvorschriften wie für die elektrischen Maschinen. Wohl hätte das Starkstrominspektorat dann lediglich eine sekundäre Kontrollpflicht gemäss Art. 26 ElG und Art. 4 lit. e des Vertrages und damit eine blosse "Oberaufsicht" gemäss Art. 123 Abs. 5 StV . Das vom SEV gestützt auf Art. 121quater Abs. 1 StV erlassene Sicherheitszeichen-Reglement macht die Befugnis, "Material" in Verkehr zu bringen, ganz allgemein von der Bewilligung des Starkstrominspektorates abhängig (Art. 4 Abs. 2), und nach Art. 38 hat das Starkstrominspektorat "alle zur Befolgung des Sicherheitszeichen-Reglements notwendigen Massnahmen zu treffen". Das aber schliesst wiederum die Pflicht ein, dafür zu sorgen, dass ungeprüftes Material nach Ablauf der Toleranzfristen (1. Juli 1965) aus dem Verkehr verschwindet. Der SEV macht weiter geltend, er habe eine Aufklärung unterlassen, weil sie Zweifel an der Verbindlichkeit der Vorschriften BGE 94 I 628 S. 642 hätte erwecken können. Indessen ist nicht verständlich, weshalb das Starkstrominspektorat die Öffentlichkeit nicht zum mindesten darauf hingewiesen hat, dass ab dem 1. Juli 1965 auch im Detailhandel nur noch mit dem Sicherheitszeichen versehene Werkzeuge abgegeben werden dürfen; denn mit dieser Unterlassung verstiess das Inspektorat - jedenfalls was die Instruktion der Verkäufer betrifft - gegen Art. 14 Abs. 2 des von ihm selbst erlassenen Reglementes über die Hausinstallationskontrollen. Die wenigen Zeilen in den "Mitteilungen aus den Technischen Prüfanstalten des SEV" vom 1. Mai 1965 erfüllten die Aufgabe nicht; die sämtliche Detailverkäufer betreffende Änderung der Rechtslage ab 1. Juli 1965 wurde überhaupt nicht erwähnt. Der SEV versucht schliesslich, die Untätigkeit des Starkstrominspektorates mit finanziellen Gründen zu entschuldigen. Der SEV war frei, den Vertrag mit dem Bund abzuschliessen oder nicht. Der durch den Vertrag übernommenen Aufgabe konnte er sich aber nicht aus angeblichen finanziellen Gründen entziehen. Der Vorwurf, das Starkstrominspektorat habe widerrechtlich gehandelt, ist daher berechtigt. b) Nicht stichhaltig ist der gleiche Vorwurf gegenüber dem Departement; denn nach den Akten hat dieses vom Versagen des Starkstrominspektorates erstmals durch das Schreiben der Klägerin vom 17. Mai 1965 mit Briefkopien und dann namentlich durch die Beschwerde vom 23. Juli 1965 Kenntnis erhalten. Es hat diese als Anzeige behandelt und ist eingeschritten. Es hat selbst für Aufklärung über die bestehenden Vorschriften gesorgt. Endlich hat das Departement das Starkstrominspektorat veranlasst, die Prüfung von hunderten von Maschinen und Werkzeugen nachzuholen und für die nicht bewilligten Verkaufsverbote zu erlassen. Eine rechtswidrige Schädigung der Klägerin durch den Bund ist ausgeschlossen, da das Departement die ihm übertragene Oberaufsicht (vgl. RUCK, Schweiz. Elektrizitätsrecht, S. 162/3) nicht verletzt hat.</w:t>
      </w:r>
    </w:p>
    <w:p>
      <w:r>
        <w:rPr>
          <w:b/>
        </w:rPr>
        <w:t>E. 5</w:t>
      </w:r>
    </w:p>
    <w:p>
      <w:r>
        <w:t>Mit Bezug auf den SEV stellt sich die weitere Frage, ob die Klägerin aus der Verletzung seiner Pflichten einen Schadenersatzanspruch herleiten kann, d.h. ob die verletzten Vorschriften zu ihrem Schutze erlassen worden sind. Nach der vom Bundesgericht in ständiger Praxis angewandten und auch von der Lehre anerkannten objektiven Theorie ist ein Verhalten nur dann widerrechtlich im Sinne der Begründung eines BGE 94 I 628 S. 643 Schadenersatzanspruches, wenn es gegen Gebote und Verbote der Rechtsordnung verstösst, die dem Schutze des verletzten Rechtsgutes dienen ( BGE 30 II 571 /2, BGE 41 II 685 , BGE 82 II 28 , BGE 88 II 280 /1, BGE 90 II 279 ; KAUFMANN, a.a.O., S. 570). Sind die verletzten Rechtssätze nicht zum Schutze des Geschädigten erlassen worden, so fehlt es am adäquaten Kausalzusammenhang zwischen der widerrechtlichen Handlung und dem Schaden (VON TUHR/SIEGWART, Allgemeiner Teil des OR, 2. Aufl., Bd. I, S. 355/6; OFTINGER, Schweizerisches Haftpflichtrecht, 2. Aufl., Bd. I S. 49/5o und 113/4; VON BÜREN, Schweizerisches OR, Allgemeiner Teil, S. 51; BGE 30 II 572 , BGE 75 II 212 /3, BGE 79 II 438 ). Diese Grundsätze gelten im Schadenersatzrecht allgemein und daher ebenfalls nach Art. 3 und 19 VG (vgl. BGE 91 I 452 E. 3). Die Vorschriften über die Kontrolle der elektrischen Maschinen und Werkzeuge sind ausschliesslich zum Schutze von Personen und Sachen gegen die vom elektrischen Strom ausgehenden Gefahren erlassen worden (vgl. insbesondere Art. 3 ElG und Art. 4 StV ; in diesem Sinn auch NESS, Die öffentliche Stellung der Installateure elektrischer Anlagen auf Grund der Elektrizitätsgesetzgebung des Bundes, S. 73 Anm. 3). Sie haben nichts mit dem Wettbewerb zu tun. Wenn sie sich auch darauf auswirken, so ist das lediglich eine Reflexwirkung. Nun hat die Klägerin bei ihren Begehren an das Inspektorat die mögliche Nebenwirkung - nämlich die Verbesserung ihrer eigenen Position im wirtschaftlichen Wettbewerb - nicht nur zur Hauptsache, sondern zum alleinigen Ziel ihrer Vorstösse gemacht. Schon im Brief vom 29. Januar 1965, mit dem sie dem Starkstrominspektorat das Verhandlungsergebnis vom Vortage bestätigte, machte sie keine öffentlichen Interessen geltend, sondern lediglich den Umstand, ihr "Marktanteil" sei durch die Konkurrenz "wesentlich beeinträchtigt", weil die Konkurrenz den Vorschriften nicht entsprechende Werkzeuge "billiger und handlicher in den Verkehr" bringe. "Diese Situation" - nicht etwa die für Verkäufer und Verbraucher bestehende Gefahr - wurde als "untragbar" bezeichnet. Im Schreiben vom 17. Mai 1965 ist wiederum nur von der "unhaltbaren Situation" im Wettbewerb mit der Konkurrenz die Rede. Auch im Brief vom 1. Juni 1965 erwähnt die Klägerin als Grund zum Einschreiten ausschliesslich ihre "täglichen Umsatzeinbussen". Am 2. November 1965 beklagte sich die Klägerin BGE 94 I 628 S. 644 darüber, dass vorgesehen sei, das ganze Sortiment der Firma Black &amp; Decker noch bis zum Jahresende durchzuprüfen; derart habe für sie "jede Aktion und Strafanzeige keinen Sinn mehr" und sie könne sich daher "alle weitere Mühe und Kosten ersparen". Damit hat sie wiederum bestätigt, dass es ihr nicht um die Beseitigung von Gefahrenquellen ging. Wenn die Klägerin wegen des Versagens des Starkstrominspektorates im Konkurrenzkampf benachteiligt und geschädigt wurde, wie sie behauptet, so wurde sie nicht in einem durch die erwähnten Vorschriften geschützten Rechtsgut verletzt. Auch im vorliegenden Fall muss sich aber die Rechtswidrigkeit auf das geschützte Rechtsgut beziehen. Adäquate Ursache des von der Klägerin angeblich erlittenen Schadens ist somit nicht das Versagen des Starkstrominspektorates, sondern allenfalls unlauterer Wettbewerb ihrer Konkurrenten. Ob der Klägerin gegen ihre Konkurrenten Ansprüche aus Art. 2 Abs. 1 lit. d UWG zustehen, ist im vorliegenden Verfahren nicht zu prüfen.</w:t>
      </w:r>
    </w:p>
    <w:p>
      <w:r>
        <w:rPr>
          <w:b/>
        </w:rPr>
        <w:t>E. 6</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